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6282A" w14:textId="77777777" w:rsidR="00317E69" w:rsidRDefault="00317E69" w:rsidP="00F40876">
      <w:pPr>
        <w:spacing w:line="180" w:lineRule="exact"/>
        <w:jc w:val="center"/>
        <w:rPr>
          <w:rFonts w:asciiTheme="majorHAnsi" w:hAnsiTheme="majorHAnsi" w:cs="Times New Roman"/>
          <w:b/>
          <w:bCs/>
          <w:sz w:val="24"/>
          <w:szCs w:val="24"/>
        </w:rPr>
      </w:pPr>
    </w:p>
    <w:p w14:paraId="6A4F6003" w14:textId="696FEBCE" w:rsidR="0026015A" w:rsidRPr="00AB44A8" w:rsidRDefault="00937B8F" w:rsidP="00AB44A8">
      <w:pPr>
        <w:spacing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</w:rPr>
      </w:pPr>
      <w:r w:rsidRPr="00AB44A8">
        <w:rPr>
          <w:rFonts w:asciiTheme="majorHAnsi" w:hAnsiTheme="majorHAnsi" w:cs="Times New Roman"/>
          <w:b/>
          <w:bCs/>
          <w:sz w:val="24"/>
          <w:szCs w:val="24"/>
        </w:rPr>
        <w:t>SOCIAL IMPACT ASSESMENT TOOLKIT FOR MICROFINANCE ACTIVITIES</w:t>
      </w:r>
    </w:p>
    <w:p w14:paraId="2F439394" w14:textId="77777777" w:rsidR="00AB44A8" w:rsidRPr="00317E69" w:rsidRDefault="00AB44A8" w:rsidP="00F40876">
      <w:pPr>
        <w:spacing w:line="180" w:lineRule="exact"/>
        <w:jc w:val="center"/>
        <w:rPr>
          <w:rFonts w:asciiTheme="majorHAnsi" w:hAnsiTheme="majorHAnsi" w:cs="Times New Roman"/>
          <w:b/>
          <w:bCs/>
          <w:sz w:val="24"/>
          <w:szCs w:val="24"/>
        </w:rPr>
      </w:pPr>
    </w:p>
    <w:tbl>
      <w:tblPr>
        <w:tblStyle w:val="TableGrid"/>
        <w:tblW w:w="10102" w:type="dxa"/>
        <w:tblLayout w:type="fixed"/>
        <w:tblLook w:val="04A0" w:firstRow="1" w:lastRow="0" w:firstColumn="1" w:lastColumn="0" w:noHBand="0" w:noVBand="1"/>
      </w:tblPr>
      <w:tblGrid>
        <w:gridCol w:w="1680"/>
        <w:gridCol w:w="5686"/>
        <w:gridCol w:w="2736"/>
      </w:tblGrid>
      <w:tr w:rsidR="00441654" w:rsidRPr="00F40876" w14:paraId="051FC664" w14:textId="77777777" w:rsidTr="00C71AA4">
        <w:trPr>
          <w:trHeight w:val="664"/>
        </w:trPr>
        <w:tc>
          <w:tcPr>
            <w:tcW w:w="1680" w:type="dxa"/>
            <w:shd w:val="clear" w:color="auto" w:fill="3A7C22" w:themeFill="accent6" w:themeFillShade="BF"/>
            <w:vAlign w:val="center"/>
          </w:tcPr>
          <w:p w14:paraId="7A1652BE" w14:textId="5EE46C6B" w:rsidR="00404422" w:rsidRPr="00F40876" w:rsidRDefault="00C21416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  <w:t>Dimension</w:t>
            </w:r>
          </w:p>
        </w:tc>
        <w:tc>
          <w:tcPr>
            <w:tcW w:w="5686" w:type="dxa"/>
            <w:shd w:val="clear" w:color="auto" w:fill="3A7C22" w:themeFill="accent6" w:themeFillShade="BF"/>
            <w:vAlign w:val="center"/>
          </w:tcPr>
          <w:p w14:paraId="45714EB1" w14:textId="00B512CF" w:rsidR="00C21416" w:rsidRPr="00F40876" w:rsidRDefault="00C21416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  <w:t>Indicator</w:t>
            </w:r>
          </w:p>
        </w:tc>
        <w:tc>
          <w:tcPr>
            <w:tcW w:w="2736" w:type="dxa"/>
            <w:shd w:val="clear" w:color="auto" w:fill="3A7C22" w:themeFill="accent6" w:themeFillShade="BF"/>
            <w:vAlign w:val="center"/>
          </w:tcPr>
          <w:p w14:paraId="26E4A5F5" w14:textId="236314A9" w:rsidR="00C21416" w:rsidRPr="00F40876" w:rsidRDefault="00C21416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  <w:t>Values</w:t>
            </w:r>
          </w:p>
        </w:tc>
      </w:tr>
      <w:tr w:rsidR="00C21416" w:rsidRPr="00F40876" w14:paraId="14AAF3F3" w14:textId="77777777" w:rsidTr="00C71AA4">
        <w:trPr>
          <w:trHeight w:val="300"/>
        </w:trPr>
        <w:tc>
          <w:tcPr>
            <w:tcW w:w="1680" w:type="dxa"/>
            <w:vMerge w:val="restart"/>
          </w:tcPr>
          <w:p w14:paraId="14E7FF3F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CA8FAD0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599501E9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846CF7D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7BBD4091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3E2B3C51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678B894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F0A908B" w14:textId="1BB5BF4D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Financial Inclusion</w:t>
            </w:r>
          </w:p>
          <w:p w14:paraId="4357F066" w14:textId="1E4806C1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1FAE52F9" w14:textId="004DC3CF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1.1. Percentage of customers in rural areas/ marginalized urban areas/other vulnerable areas (islands, deindustrialized areas, etc.) </w:t>
            </w:r>
          </w:p>
        </w:tc>
        <w:tc>
          <w:tcPr>
            <w:tcW w:w="2736" w:type="dxa"/>
          </w:tcPr>
          <w:p w14:paraId="7DB1CCB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More than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50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% - 3 points</w:t>
            </w:r>
          </w:p>
          <w:p w14:paraId="29081D9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25 - 49% - 2 points</w:t>
            </w:r>
          </w:p>
          <w:p w14:paraId="3763126D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5 - 24% - 1 point</w:t>
            </w:r>
          </w:p>
          <w:p w14:paraId="6EC6B5C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5% - 0 points</w:t>
            </w:r>
          </w:p>
        </w:tc>
      </w:tr>
      <w:tr w:rsidR="00C21416" w:rsidRPr="00F40876" w14:paraId="5008FCD9" w14:textId="77777777" w:rsidTr="00C71AA4">
        <w:trPr>
          <w:trHeight w:val="300"/>
        </w:trPr>
        <w:tc>
          <w:tcPr>
            <w:tcW w:w="1680" w:type="dxa"/>
            <w:vMerge/>
          </w:tcPr>
          <w:p w14:paraId="7D5D637A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02BE33FD" w14:textId="4AD9FECE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1.2. Percentage of farming activities funded / small businesses</w:t>
            </w:r>
            <w:r w:rsidR="0026015A"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 funded</w:t>
            </w:r>
          </w:p>
          <w:p w14:paraId="55DD1D57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736" w:type="dxa"/>
          </w:tcPr>
          <w:p w14:paraId="1EBB87C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More than 50% - 3 points</w:t>
            </w:r>
          </w:p>
          <w:p w14:paraId="1B556AE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25 - 49% - 2 points</w:t>
            </w:r>
          </w:p>
          <w:p w14:paraId="36F24EC6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5 - 24% - 1 point</w:t>
            </w:r>
          </w:p>
          <w:p w14:paraId="08C4C046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5% - 0 points</w:t>
            </w:r>
          </w:p>
        </w:tc>
      </w:tr>
      <w:tr w:rsidR="00C21416" w:rsidRPr="00F40876" w14:paraId="4A0C6C16" w14:textId="77777777" w:rsidTr="00C71AA4">
        <w:trPr>
          <w:trHeight w:val="300"/>
        </w:trPr>
        <w:tc>
          <w:tcPr>
            <w:tcW w:w="1680" w:type="dxa"/>
            <w:vMerge/>
          </w:tcPr>
          <w:p w14:paraId="03D8FFA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36D475F2" w14:textId="00988B69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1.3. Percentage of people under 35 funded / seniors </w:t>
            </w:r>
            <w:r w:rsidR="0026015A" w:rsidRPr="00F4087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(65+) </w:t>
            </w:r>
            <w:r w:rsidRPr="00F4087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funded </w:t>
            </w:r>
          </w:p>
          <w:p w14:paraId="0FBD9B4F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736" w:type="dxa"/>
          </w:tcPr>
          <w:p w14:paraId="77FBE9B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More than 2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% - 3 points</w:t>
            </w:r>
          </w:p>
          <w:p w14:paraId="1642A87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11 - 19% - 2 points</w:t>
            </w:r>
          </w:p>
          <w:p w14:paraId="1644B41F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3 - 10% - 1 point</w:t>
            </w:r>
          </w:p>
          <w:p w14:paraId="64BEBE2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3% - 0 points</w:t>
            </w:r>
          </w:p>
        </w:tc>
      </w:tr>
      <w:tr w:rsidR="00C21416" w:rsidRPr="00F40876" w14:paraId="3DB20480" w14:textId="77777777" w:rsidTr="00C71AA4">
        <w:trPr>
          <w:trHeight w:val="300"/>
        </w:trPr>
        <w:tc>
          <w:tcPr>
            <w:tcW w:w="1680" w:type="dxa"/>
            <w:vMerge/>
          </w:tcPr>
          <w:p w14:paraId="599B532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5686" w:type="dxa"/>
          </w:tcPr>
          <w:p w14:paraId="36D19366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1.4. Percentage of customers who obtained loans from other banks</w:t>
            </w:r>
          </w:p>
        </w:tc>
        <w:tc>
          <w:tcPr>
            <w:tcW w:w="2736" w:type="dxa"/>
          </w:tcPr>
          <w:p w14:paraId="21108B8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More than 30% - 3 points</w:t>
            </w:r>
          </w:p>
          <w:p w14:paraId="12C6250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15 - 29% - 2 points</w:t>
            </w:r>
          </w:p>
          <w:p w14:paraId="5686FC4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1388B98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5% - 0 points</w:t>
            </w:r>
          </w:p>
        </w:tc>
      </w:tr>
      <w:tr w:rsidR="00C21416" w:rsidRPr="00F40876" w14:paraId="3CDC25BC" w14:textId="77777777" w:rsidTr="00C71AA4">
        <w:trPr>
          <w:trHeight w:val="300"/>
        </w:trPr>
        <w:tc>
          <w:tcPr>
            <w:tcW w:w="7366" w:type="dxa"/>
            <w:gridSpan w:val="2"/>
            <w:shd w:val="clear" w:color="auto" w:fill="D9F2D0" w:themeFill="accent6" w:themeFillTint="33"/>
          </w:tcPr>
          <w:p w14:paraId="0958029D" w14:textId="77777777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C048F50" w14:textId="3ED84190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Total Financial Inclusion Score</w:t>
            </w:r>
            <w:r w:rsidR="001248AC"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 xml:space="preserve"> (max 12 points)</w:t>
            </w:r>
          </w:p>
        </w:tc>
        <w:tc>
          <w:tcPr>
            <w:tcW w:w="2736" w:type="dxa"/>
            <w:shd w:val="clear" w:color="auto" w:fill="D9F2D0" w:themeFill="accent6" w:themeFillTint="33"/>
          </w:tcPr>
          <w:p w14:paraId="4F602B15" w14:textId="68EA1D6E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>9 - 12 points</w:t>
            </w:r>
            <w:r w:rsidR="00441654"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: </w:t>
            </w: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>high inclusion</w:t>
            </w:r>
          </w:p>
          <w:p w14:paraId="727C38B7" w14:textId="2F25F109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5 - 8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points: </w:t>
            </w:r>
            <w:r w:rsidR="00441654"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moderate inclusion</w:t>
            </w:r>
          </w:p>
          <w:p w14:paraId="45FAAD6E" w14:textId="5F0A604B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0 - 4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points: </w:t>
            </w:r>
            <w:r w:rsidR="00441654"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low</w:t>
            </w: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inclusion</w:t>
            </w:r>
          </w:p>
        </w:tc>
      </w:tr>
      <w:tr w:rsidR="00C21416" w:rsidRPr="00F40876" w14:paraId="7B6244C0" w14:textId="77777777" w:rsidTr="00C71AA4">
        <w:trPr>
          <w:trHeight w:val="300"/>
        </w:trPr>
        <w:tc>
          <w:tcPr>
            <w:tcW w:w="1680" w:type="dxa"/>
            <w:vMerge w:val="restart"/>
          </w:tcPr>
          <w:p w14:paraId="0E61609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Business Impact</w:t>
            </w:r>
          </w:p>
        </w:tc>
        <w:tc>
          <w:tcPr>
            <w:tcW w:w="5686" w:type="dxa"/>
          </w:tcPr>
          <w:p w14:paraId="48C258B7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2.1. Percentage of businesses where profit increased from one year to the next 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ab/>
              <w:t xml:space="preserve"> </w:t>
            </w:r>
          </w:p>
          <w:p w14:paraId="62D24D9A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ab/>
            </w:r>
          </w:p>
        </w:tc>
        <w:tc>
          <w:tcPr>
            <w:tcW w:w="2736" w:type="dxa"/>
          </w:tcPr>
          <w:p w14:paraId="38F80714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40% - 3 points</w:t>
            </w:r>
          </w:p>
          <w:p w14:paraId="1E3466F4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30 - 39% - 2 points</w:t>
            </w:r>
          </w:p>
          <w:p w14:paraId="5B5E6C9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20 - 29% - 1 point</w:t>
            </w:r>
          </w:p>
          <w:p w14:paraId="5077CCE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20% - 0 points</w:t>
            </w:r>
          </w:p>
        </w:tc>
      </w:tr>
      <w:tr w:rsidR="00C21416" w:rsidRPr="00F40876" w14:paraId="6F9E19C3" w14:textId="77777777" w:rsidTr="00C71AA4">
        <w:trPr>
          <w:trHeight w:val="300"/>
        </w:trPr>
        <w:tc>
          <w:tcPr>
            <w:tcW w:w="1680" w:type="dxa"/>
            <w:vMerge/>
          </w:tcPr>
          <w:p w14:paraId="03F463C7" w14:textId="77777777" w:rsidR="00C21416" w:rsidRPr="00F40876" w:rsidRDefault="00C21416" w:rsidP="00F40876">
            <w:pPr>
              <w:spacing w:line="180" w:lineRule="exac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51A47DA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2.2 Percentage of businesses that in the last 3 years have expanded through investments in assets</w:t>
            </w:r>
          </w:p>
        </w:tc>
        <w:tc>
          <w:tcPr>
            <w:tcW w:w="2736" w:type="dxa"/>
          </w:tcPr>
          <w:p w14:paraId="2E75E1B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75% - 3 points</w:t>
            </w:r>
          </w:p>
          <w:p w14:paraId="7B5FEB3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50 - 74% - 2 points</w:t>
            </w:r>
          </w:p>
          <w:p w14:paraId="29D055E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25 - 49% - 1 point</w:t>
            </w:r>
          </w:p>
          <w:p w14:paraId="387B86F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25% - 0 points</w:t>
            </w:r>
          </w:p>
        </w:tc>
      </w:tr>
      <w:tr w:rsidR="00937B8F" w:rsidRPr="00F40876" w14:paraId="4ABFADD1" w14:textId="77777777" w:rsidTr="00C71AA4">
        <w:trPr>
          <w:trHeight w:val="300"/>
        </w:trPr>
        <w:tc>
          <w:tcPr>
            <w:tcW w:w="7366" w:type="dxa"/>
            <w:gridSpan w:val="2"/>
          </w:tcPr>
          <w:p w14:paraId="4EFC4462" w14:textId="77777777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3D35F2FD" w14:textId="1F244F20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Business Impact Score (max 6 points)</w:t>
            </w:r>
          </w:p>
        </w:tc>
        <w:tc>
          <w:tcPr>
            <w:tcW w:w="2736" w:type="dxa"/>
          </w:tcPr>
          <w:p w14:paraId="13B55E1E" w14:textId="2C1D0EEA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5 - 6 points: high impact </w:t>
            </w:r>
          </w:p>
          <w:p w14:paraId="2FE868DC" w14:textId="71D1EF89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3 - 4 points: medium impact </w:t>
            </w:r>
          </w:p>
          <w:p w14:paraId="59B7B1DE" w14:textId="1BB4DF96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0 - 2 points:  low impact </w:t>
            </w:r>
          </w:p>
        </w:tc>
      </w:tr>
      <w:tr w:rsidR="00C21416" w:rsidRPr="00F40876" w14:paraId="327337D8" w14:textId="77777777" w:rsidTr="00C71AA4">
        <w:trPr>
          <w:trHeight w:val="300"/>
        </w:trPr>
        <w:tc>
          <w:tcPr>
            <w:tcW w:w="1680" w:type="dxa"/>
            <w:vMerge w:val="restart"/>
          </w:tcPr>
          <w:p w14:paraId="367C0F7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Individual &amp; household well-being</w:t>
            </w:r>
          </w:p>
          <w:p w14:paraId="506ABDD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2A01F15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3.1. Average level of education – Percentage of households where the head of the household finished ten grades</w:t>
            </w:r>
          </w:p>
        </w:tc>
        <w:tc>
          <w:tcPr>
            <w:tcW w:w="2736" w:type="dxa"/>
          </w:tcPr>
          <w:p w14:paraId="279489B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30% - 3 points</w:t>
            </w:r>
          </w:p>
          <w:p w14:paraId="08734B8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15 - 29% - 2 points</w:t>
            </w:r>
          </w:p>
          <w:p w14:paraId="4A24658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7158122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5% - 0 points</w:t>
            </w:r>
          </w:p>
        </w:tc>
      </w:tr>
      <w:tr w:rsidR="00C21416" w:rsidRPr="00F40876" w14:paraId="72A360F8" w14:textId="77777777" w:rsidTr="00C71AA4">
        <w:trPr>
          <w:trHeight w:val="300"/>
        </w:trPr>
        <w:tc>
          <w:tcPr>
            <w:tcW w:w="1680" w:type="dxa"/>
            <w:vMerge/>
          </w:tcPr>
          <w:p w14:paraId="09322E1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651DF86C" w14:textId="70441CEB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3.2. Satisfaction with the income obtained (percentage of people that declare that they have enough for a decent l</w:t>
            </w:r>
            <w:r w:rsidR="009D2ACB"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i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ving) </w:t>
            </w:r>
          </w:p>
        </w:tc>
        <w:tc>
          <w:tcPr>
            <w:tcW w:w="2736" w:type="dxa"/>
          </w:tcPr>
          <w:p w14:paraId="49D0348E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50% - 3 points</w:t>
            </w:r>
          </w:p>
          <w:p w14:paraId="537D05F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30 - 49% - 2 points</w:t>
            </w:r>
          </w:p>
          <w:p w14:paraId="7E5A175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15 - 29% - 1 point</w:t>
            </w:r>
          </w:p>
          <w:p w14:paraId="613F2DB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15% - 0 points</w:t>
            </w:r>
          </w:p>
        </w:tc>
      </w:tr>
      <w:tr w:rsidR="00C21416" w:rsidRPr="00F40876" w14:paraId="7DA2C8F3" w14:textId="77777777" w:rsidTr="00C71AA4">
        <w:trPr>
          <w:trHeight w:val="300"/>
        </w:trPr>
        <w:tc>
          <w:tcPr>
            <w:tcW w:w="1680" w:type="dxa"/>
            <w:vMerge/>
          </w:tcPr>
          <w:p w14:paraId="00CBFCD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2CAE6EA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3.3. Existence of savings in the household </w:t>
            </w:r>
          </w:p>
        </w:tc>
        <w:tc>
          <w:tcPr>
            <w:tcW w:w="2736" w:type="dxa"/>
          </w:tcPr>
          <w:p w14:paraId="3AD72A1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25% - 3 points</w:t>
            </w:r>
          </w:p>
          <w:p w14:paraId="6B76DFFA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15 - 24% - 2 points</w:t>
            </w:r>
          </w:p>
          <w:p w14:paraId="4A7B68B7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7B6D07B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5% - 0 points</w:t>
            </w:r>
          </w:p>
        </w:tc>
      </w:tr>
      <w:tr w:rsidR="00937B8F" w:rsidRPr="00F40876" w14:paraId="5D759A4C" w14:textId="77777777" w:rsidTr="00C71AA4">
        <w:trPr>
          <w:trHeight w:val="300"/>
        </w:trPr>
        <w:tc>
          <w:tcPr>
            <w:tcW w:w="7366" w:type="dxa"/>
            <w:gridSpan w:val="2"/>
          </w:tcPr>
          <w:p w14:paraId="70A5AE80" w14:textId="77777777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5BD88F58" w14:textId="4BF0D199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Individual &amp; household well-being Score (max 9 points)</w:t>
            </w:r>
          </w:p>
        </w:tc>
        <w:tc>
          <w:tcPr>
            <w:tcW w:w="2736" w:type="dxa"/>
          </w:tcPr>
          <w:p w14:paraId="7F508AF8" w14:textId="04F248E0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7 - 9 points: high impact </w:t>
            </w:r>
          </w:p>
          <w:p w14:paraId="4FF05A3B" w14:textId="5DE26282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4 - 6 points: medium impact </w:t>
            </w:r>
          </w:p>
          <w:p w14:paraId="1E00067A" w14:textId="50EA0AB7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0 - 3 points: low impact </w:t>
            </w:r>
          </w:p>
        </w:tc>
      </w:tr>
      <w:tr w:rsidR="00C21416" w:rsidRPr="00F40876" w14:paraId="13D66D03" w14:textId="77777777" w:rsidTr="00C71AA4">
        <w:trPr>
          <w:trHeight w:val="300"/>
        </w:trPr>
        <w:tc>
          <w:tcPr>
            <w:tcW w:w="1680" w:type="dxa"/>
            <w:vMerge w:val="restart"/>
          </w:tcPr>
          <w:p w14:paraId="03AD33E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strike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Community impact</w:t>
            </w:r>
          </w:p>
          <w:p w14:paraId="26ABB8D2" w14:textId="77777777" w:rsidR="00C21416" w:rsidRPr="00F40876" w:rsidRDefault="00C21416" w:rsidP="00F40876">
            <w:pPr>
              <w:spacing w:line="180" w:lineRule="exact"/>
              <w:rPr>
                <w:rFonts w:ascii="Times New Roman" w:hAnsi="Times New Roman" w:cs="Times New Roman"/>
                <w:b/>
                <w:bCs/>
                <w:strike/>
                <w:color w:val="FF0000"/>
                <w:sz w:val="18"/>
                <w:szCs w:val="18"/>
                <w:lang w:val="en-GB"/>
              </w:rPr>
            </w:pPr>
          </w:p>
          <w:p w14:paraId="24DE1CB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78007CCE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4.1 Percentage of businesses owned by women/ in which women are involved in management structure</w:t>
            </w:r>
          </w:p>
        </w:tc>
        <w:tc>
          <w:tcPr>
            <w:tcW w:w="2736" w:type="dxa"/>
          </w:tcPr>
          <w:p w14:paraId="45C0F35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30% - 3 points</w:t>
            </w:r>
          </w:p>
          <w:p w14:paraId="1644C21A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15 - 29% - 2 points</w:t>
            </w:r>
          </w:p>
          <w:p w14:paraId="66D72354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66733D1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5% - 0 points</w:t>
            </w:r>
          </w:p>
        </w:tc>
      </w:tr>
      <w:tr w:rsidR="00C21416" w:rsidRPr="00F40876" w14:paraId="604E6E6B" w14:textId="77777777" w:rsidTr="00C71AA4">
        <w:trPr>
          <w:trHeight w:val="300"/>
        </w:trPr>
        <w:tc>
          <w:tcPr>
            <w:tcW w:w="1680" w:type="dxa"/>
            <w:vMerge/>
          </w:tcPr>
          <w:p w14:paraId="2420CD2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196A37F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4.2 Percentage of businesses participating in associative forms </w:t>
            </w:r>
          </w:p>
        </w:tc>
        <w:tc>
          <w:tcPr>
            <w:tcW w:w="2736" w:type="dxa"/>
          </w:tcPr>
          <w:p w14:paraId="1AF0E0EF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10% - 3 points</w:t>
            </w:r>
          </w:p>
          <w:p w14:paraId="25F1F62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5 - 9% - 2 points</w:t>
            </w:r>
          </w:p>
          <w:p w14:paraId="4E7C50DD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2 - 4% - 1 point</w:t>
            </w:r>
          </w:p>
          <w:p w14:paraId="1237185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2% - 0 points</w:t>
            </w:r>
          </w:p>
        </w:tc>
      </w:tr>
      <w:tr w:rsidR="00C21416" w:rsidRPr="00F40876" w14:paraId="3462F7C8" w14:textId="77777777" w:rsidTr="00C71AA4">
        <w:trPr>
          <w:trHeight w:val="300"/>
        </w:trPr>
        <w:tc>
          <w:tcPr>
            <w:tcW w:w="1680" w:type="dxa"/>
            <w:vMerge/>
          </w:tcPr>
          <w:p w14:paraId="3BEEF4B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592F9F6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4.3. Percentage of businesses that hired at least one person (full-time/part-time) </w:t>
            </w:r>
          </w:p>
        </w:tc>
        <w:tc>
          <w:tcPr>
            <w:tcW w:w="2736" w:type="dxa"/>
          </w:tcPr>
          <w:p w14:paraId="1303C4E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25% - 3 points</w:t>
            </w:r>
          </w:p>
          <w:p w14:paraId="12A4D2FE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15 - 24% - 2 points</w:t>
            </w:r>
          </w:p>
          <w:p w14:paraId="583F194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07B9FC8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5% - 0 points</w:t>
            </w:r>
          </w:p>
        </w:tc>
      </w:tr>
      <w:tr w:rsidR="00937B8F" w:rsidRPr="00F40876" w14:paraId="3301C198" w14:textId="77777777" w:rsidTr="00C71AA4">
        <w:trPr>
          <w:trHeight w:val="300"/>
        </w:trPr>
        <w:tc>
          <w:tcPr>
            <w:tcW w:w="7366" w:type="dxa"/>
            <w:gridSpan w:val="2"/>
          </w:tcPr>
          <w:p w14:paraId="5D7AD2AB" w14:textId="77777777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  <w:p w14:paraId="50EEA70A" w14:textId="6A0F068A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strike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Community impact score (max 9 points)</w:t>
            </w:r>
          </w:p>
        </w:tc>
        <w:tc>
          <w:tcPr>
            <w:tcW w:w="2736" w:type="dxa"/>
          </w:tcPr>
          <w:p w14:paraId="7EE9319F" w14:textId="7D409D56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7 - 9 points high impact </w:t>
            </w:r>
          </w:p>
          <w:p w14:paraId="5321AC5A" w14:textId="36C7C389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4 - 6 points medium impact </w:t>
            </w:r>
          </w:p>
          <w:p w14:paraId="6E8B0CA3" w14:textId="627FCC9D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0 - 3 points low impact </w:t>
            </w:r>
          </w:p>
        </w:tc>
      </w:tr>
      <w:tr w:rsidR="007F0C05" w:rsidRPr="00F40876" w14:paraId="264F09AE" w14:textId="77777777" w:rsidTr="00C71AA4">
        <w:trPr>
          <w:trHeight w:val="300"/>
        </w:trPr>
        <w:tc>
          <w:tcPr>
            <w:tcW w:w="7366" w:type="dxa"/>
            <w:gridSpan w:val="2"/>
            <w:shd w:val="clear" w:color="auto" w:fill="D9F2D0" w:themeFill="accent6" w:themeFillTint="33"/>
          </w:tcPr>
          <w:p w14:paraId="25EEF1F6" w14:textId="77777777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EAD10F3" w14:textId="1068F796" w:rsidR="007F0C05" w:rsidRPr="00F40876" w:rsidRDefault="007F0C05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Total Social Impact score</w:t>
            </w:r>
            <w:r w:rsidR="00441654"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 xml:space="preserve"> (max 24 points)</w:t>
            </w:r>
          </w:p>
        </w:tc>
        <w:tc>
          <w:tcPr>
            <w:tcW w:w="2736" w:type="dxa"/>
            <w:shd w:val="clear" w:color="auto" w:fill="D9F2D0" w:themeFill="accent6" w:themeFillTint="33"/>
          </w:tcPr>
          <w:p w14:paraId="72581A06" w14:textId="7065F6FB" w:rsidR="007F0C05" w:rsidRPr="00F40876" w:rsidRDefault="007F0C05" w:rsidP="00F40876">
            <w:pPr>
              <w:spacing w:line="18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17 – 24 points</w:t>
            </w:r>
            <w:r w:rsidR="00441654"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:</w:t>
            </w: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 xml:space="preserve"> high impact</w:t>
            </w:r>
          </w:p>
          <w:p w14:paraId="398FB4B4" w14:textId="12C0E729" w:rsidR="007F0C05" w:rsidRPr="00F40876" w:rsidRDefault="007F0C05" w:rsidP="00F40876">
            <w:pPr>
              <w:spacing w:line="18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9 -16 points</w:t>
            </w:r>
            <w:r w:rsidR="00441654"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:</w:t>
            </w: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 xml:space="preserve"> moderate impact</w:t>
            </w:r>
          </w:p>
          <w:p w14:paraId="40701128" w14:textId="51D69B42" w:rsidR="007F0C05" w:rsidRPr="00F40876" w:rsidRDefault="007F0C05" w:rsidP="00F40876">
            <w:pPr>
              <w:spacing w:line="18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0 – 8 points low impact</w:t>
            </w:r>
          </w:p>
        </w:tc>
      </w:tr>
      <w:tr w:rsidR="00441654" w:rsidRPr="00F40876" w14:paraId="7C21D6BF" w14:textId="77777777" w:rsidTr="00C71AA4">
        <w:trPr>
          <w:trHeight w:val="300"/>
        </w:trPr>
        <w:tc>
          <w:tcPr>
            <w:tcW w:w="7366" w:type="dxa"/>
            <w:gridSpan w:val="2"/>
            <w:shd w:val="clear" w:color="auto" w:fill="3A7C22" w:themeFill="accent6" w:themeFillShade="BF"/>
          </w:tcPr>
          <w:p w14:paraId="5A723279" w14:textId="77777777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</w:p>
          <w:p w14:paraId="027F41AB" w14:textId="5AC5343F" w:rsidR="00441654" w:rsidRPr="00F40876" w:rsidRDefault="0026015A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Overall Performance</w:t>
            </w:r>
            <w:r w:rsidR="00441654"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:</w:t>
            </w:r>
          </w:p>
          <w:p w14:paraId="4DD865F0" w14:textId="0DF119D1" w:rsidR="00441654" w:rsidRPr="00F40876" w:rsidRDefault="007F0C05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Financial Inclusion &amp; Social Impact</w:t>
            </w:r>
          </w:p>
          <w:p w14:paraId="456218C1" w14:textId="78AC882D" w:rsidR="007F0C05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</w:rPr>
              <w:t>(max 36 points)</w:t>
            </w:r>
          </w:p>
        </w:tc>
        <w:tc>
          <w:tcPr>
            <w:tcW w:w="2736" w:type="dxa"/>
            <w:shd w:val="clear" w:color="auto" w:fill="3A7C22" w:themeFill="accent6" w:themeFillShade="BF"/>
          </w:tcPr>
          <w:p w14:paraId="1E851178" w14:textId="77777777" w:rsidR="00441654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 xml:space="preserve">25 – 36 points </w:t>
            </w:r>
          </w:p>
          <w:p w14:paraId="6182B3AD" w14:textId="75782DE1" w:rsidR="007F0C05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high overall performance</w:t>
            </w:r>
          </w:p>
          <w:p w14:paraId="66926C12" w14:textId="77777777" w:rsidR="00441654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 xml:space="preserve">13 – 24 points </w:t>
            </w:r>
          </w:p>
          <w:p w14:paraId="4F6D0786" w14:textId="71FBDE77" w:rsidR="0026015A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moderate overall performance</w:t>
            </w:r>
          </w:p>
          <w:p w14:paraId="786C5E2E" w14:textId="77777777" w:rsidR="00441654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 xml:space="preserve">0 – 12 points </w:t>
            </w:r>
          </w:p>
          <w:p w14:paraId="5F5C89DD" w14:textId="1A48DDA9" w:rsidR="0026015A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low overall performance</w:t>
            </w:r>
          </w:p>
        </w:tc>
      </w:tr>
    </w:tbl>
    <w:p w14:paraId="39835ACF" w14:textId="77777777" w:rsidR="0037659E" w:rsidRPr="00F40876" w:rsidRDefault="0037659E" w:rsidP="00F40876">
      <w:pPr>
        <w:spacing w:line="180" w:lineRule="exact"/>
        <w:rPr>
          <w:sz w:val="18"/>
          <w:szCs w:val="18"/>
        </w:rPr>
      </w:pPr>
    </w:p>
    <w:sectPr w:rsidR="0037659E" w:rsidRPr="00F40876" w:rsidSect="00C71AA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C93AA9"/>
    <w:multiLevelType w:val="hybridMultilevel"/>
    <w:tmpl w:val="2790328E"/>
    <w:lvl w:ilvl="0" w:tplc="8B5A79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70D2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BAAC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C672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603F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9AA8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0ACC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A490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461A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29094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261"/>
    <w:rsid w:val="001248AC"/>
    <w:rsid w:val="0026015A"/>
    <w:rsid w:val="00305AA9"/>
    <w:rsid w:val="00317E69"/>
    <w:rsid w:val="0037659E"/>
    <w:rsid w:val="003A779E"/>
    <w:rsid w:val="00404422"/>
    <w:rsid w:val="00441654"/>
    <w:rsid w:val="005C0261"/>
    <w:rsid w:val="007F0C05"/>
    <w:rsid w:val="00937B8F"/>
    <w:rsid w:val="009D2ACB"/>
    <w:rsid w:val="00AB44A8"/>
    <w:rsid w:val="00C21416"/>
    <w:rsid w:val="00C71AA4"/>
    <w:rsid w:val="00C769B1"/>
    <w:rsid w:val="00D525AD"/>
    <w:rsid w:val="00E40B9E"/>
    <w:rsid w:val="00F40876"/>
    <w:rsid w:val="00F43140"/>
    <w:rsid w:val="00F65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2A47F2"/>
  <w15:chartTrackingRefBased/>
  <w15:docId w15:val="{EC4BC8D8-F348-4998-A800-82EA14245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0261"/>
    <w:pPr>
      <w:spacing w:line="276" w:lineRule="auto"/>
      <w:jc w:val="both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02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2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2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2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2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02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2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2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2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2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2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2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2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2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02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2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2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2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02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02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02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02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02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0261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5C02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02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02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02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026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5C0261"/>
    <w:pPr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ListParagraphChar">
    <w:name w:val="List Paragraph Char"/>
    <w:link w:val="ListParagraph"/>
    <w:uiPriority w:val="34"/>
    <w:qFormat/>
    <w:rsid w:val="00C214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644</Words>
  <Characters>2634</Characters>
  <Application>Microsoft Office Word</Application>
  <DocSecurity>0</DocSecurity>
  <Lines>138</Lines>
  <Paragraphs>117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Felicia Relenschi</dc:creator>
  <cp:keywords/>
  <dc:description/>
  <cp:lastModifiedBy>Felicia Relenschi</cp:lastModifiedBy>
  <cp:revision>8</cp:revision>
  <dcterms:created xsi:type="dcterms:W3CDTF">2025-10-29T13:49:00Z</dcterms:created>
  <dcterms:modified xsi:type="dcterms:W3CDTF">2025-11-03T16:46:00Z</dcterms:modified>
</cp:coreProperties>
</file>